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A3" w:rsidRDefault="001B47A3" w:rsidP="004509C6">
      <w:pPr>
        <w:pStyle w:val="Heading1"/>
      </w:pPr>
      <w:r>
        <w:t>Personal Details</w:t>
      </w:r>
    </w:p>
    <w:tbl>
      <w:tblPr>
        <w:tblStyle w:val="TableGrid"/>
        <w:tblW w:w="0" w:type="auto"/>
        <w:tblLook w:val="04A0" w:firstRow="1" w:lastRow="0" w:firstColumn="1" w:lastColumn="0" w:noHBand="0" w:noVBand="1"/>
      </w:tblPr>
      <w:tblGrid>
        <w:gridCol w:w="2093"/>
        <w:gridCol w:w="7483"/>
      </w:tblGrid>
      <w:tr w:rsidR="001B47A3" w:rsidTr="001B47A3">
        <w:tc>
          <w:tcPr>
            <w:tcW w:w="2093" w:type="dxa"/>
          </w:tcPr>
          <w:p w:rsidR="001B47A3" w:rsidRDefault="001B47A3" w:rsidP="001B47A3">
            <w:r>
              <w:t>Name:</w:t>
            </w:r>
          </w:p>
        </w:tc>
        <w:tc>
          <w:tcPr>
            <w:tcW w:w="7483" w:type="dxa"/>
          </w:tcPr>
          <w:p w:rsidR="001B47A3" w:rsidRDefault="001B47A3" w:rsidP="001B47A3"/>
        </w:tc>
      </w:tr>
      <w:tr w:rsidR="001B47A3" w:rsidTr="001B47A3">
        <w:tc>
          <w:tcPr>
            <w:tcW w:w="2093" w:type="dxa"/>
          </w:tcPr>
          <w:p w:rsidR="001B47A3" w:rsidRDefault="001B47A3" w:rsidP="001B47A3">
            <w:r>
              <w:t>Date of Plan:</w:t>
            </w:r>
          </w:p>
        </w:tc>
        <w:tc>
          <w:tcPr>
            <w:tcW w:w="7483" w:type="dxa"/>
          </w:tcPr>
          <w:p w:rsidR="001B47A3" w:rsidRDefault="001B47A3" w:rsidP="001B47A3"/>
        </w:tc>
      </w:tr>
      <w:tr w:rsidR="001B47A3" w:rsidTr="001B47A3">
        <w:tc>
          <w:tcPr>
            <w:tcW w:w="2093" w:type="dxa"/>
          </w:tcPr>
          <w:p w:rsidR="001B47A3" w:rsidRDefault="001B47A3" w:rsidP="001B47A3">
            <w:r>
              <w:t>Next Review Date:</w:t>
            </w:r>
          </w:p>
        </w:tc>
        <w:tc>
          <w:tcPr>
            <w:tcW w:w="7483" w:type="dxa"/>
          </w:tcPr>
          <w:p w:rsidR="001B47A3" w:rsidRDefault="001B47A3" w:rsidP="001B47A3"/>
        </w:tc>
      </w:tr>
    </w:tbl>
    <w:p w:rsidR="002320D1" w:rsidRDefault="004509C6" w:rsidP="004509C6">
      <w:pPr>
        <w:pStyle w:val="Heading1"/>
      </w:pPr>
      <w:r w:rsidRPr="004509C6">
        <w:t>Big Goals and Vision Timelines</w:t>
      </w:r>
    </w:p>
    <w:p w:rsidR="004509C6" w:rsidRDefault="004509C6" w:rsidP="004509C6">
      <w:r>
        <w:t>This section of your Personal Plan outlines your big goals and visions for your future using vision horizons of 5, 10, and 20 years as your guideposts.  The power of these sections is in the detail that you include in your vision descriptions.  Don’t think only in terms of the basics of where you want to be – try to describe your life in as much detail as possible at each of these horizons.</w:t>
      </w:r>
    </w:p>
    <w:p w:rsidR="004509C6" w:rsidRDefault="004509C6" w:rsidP="004509C6">
      <w:r>
        <w:t>When you’re thinking about setting your goals for each of these areas in the future I recommend leveraging my modified “radical” version of the SMART goals acronym (see Appendix).</w:t>
      </w:r>
    </w:p>
    <w:tbl>
      <w:tblPr>
        <w:tblStyle w:val="TableGrid"/>
        <w:tblW w:w="0" w:type="auto"/>
        <w:tblLook w:val="04A0" w:firstRow="1" w:lastRow="0" w:firstColumn="1" w:lastColumn="0" w:noHBand="0" w:noVBand="1"/>
      </w:tblPr>
      <w:tblGrid>
        <w:gridCol w:w="9576"/>
      </w:tblGrid>
      <w:tr w:rsidR="001B47A3" w:rsidTr="001B47A3">
        <w:tc>
          <w:tcPr>
            <w:tcW w:w="9576" w:type="dxa"/>
          </w:tcPr>
          <w:p w:rsidR="001B47A3" w:rsidRDefault="001B47A3" w:rsidP="001B47A3">
            <w:pPr>
              <w:pStyle w:val="Heading2"/>
              <w:outlineLvl w:val="1"/>
            </w:pPr>
            <w:r>
              <w:t>5 Year Vision Horizon</w:t>
            </w:r>
          </w:p>
          <w:p w:rsidR="001B47A3" w:rsidRPr="001B47A3" w:rsidRDefault="001B47A3" w:rsidP="001B47A3">
            <w:r>
              <w:t>Describe your life 5 years from today.</w:t>
            </w:r>
          </w:p>
        </w:tc>
      </w:tr>
      <w:tr w:rsidR="001B47A3" w:rsidTr="00C80604">
        <w:tc>
          <w:tcPr>
            <w:tcW w:w="9576" w:type="dxa"/>
          </w:tcPr>
          <w:p w:rsidR="001B47A3" w:rsidRDefault="001B47A3" w:rsidP="00C80604">
            <w:pPr>
              <w:pStyle w:val="Heading2"/>
              <w:outlineLvl w:val="1"/>
            </w:pPr>
            <w:r>
              <w:t>10</w:t>
            </w:r>
            <w:r>
              <w:t xml:space="preserve"> Year Vision Horizon</w:t>
            </w:r>
          </w:p>
          <w:p w:rsidR="001B47A3" w:rsidRPr="001B47A3" w:rsidRDefault="001B47A3" w:rsidP="001B47A3">
            <w:r>
              <w:t xml:space="preserve">Describe your life </w:t>
            </w:r>
            <w:r>
              <w:t>10</w:t>
            </w:r>
            <w:r>
              <w:t xml:space="preserve"> years from today.</w:t>
            </w:r>
          </w:p>
        </w:tc>
      </w:tr>
      <w:tr w:rsidR="001B47A3" w:rsidTr="00C80604">
        <w:tc>
          <w:tcPr>
            <w:tcW w:w="9576" w:type="dxa"/>
          </w:tcPr>
          <w:p w:rsidR="001B47A3" w:rsidRDefault="001B47A3" w:rsidP="00C80604">
            <w:pPr>
              <w:pStyle w:val="Heading2"/>
              <w:outlineLvl w:val="1"/>
            </w:pPr>
            <w:r>
              <w:t>20</w:t>
            </w:r>
            <w:r>
              <w:t xml:space="preserve"> Year Vision Horizon</w:t>
            </w:r>
          </w:p>
          <w:p w:rsidR="001B47A3" w:rsidRPr="001B47A3" w:rsidRDefault="001B47A3" w:rsidP="001B47A3">
            <w:r>
              <w:t xml:space="preserve">Describe your life </w:t>
            </w:r>
            <w:r>
              <w:t>20</w:t>
            </w:r>
            <w:r>
              <w:t xml:space="preserve"> years from today.</w:t>
            </w:r>
          </w:p>
        </w:tc>
      </w:tr>
    </w:tbl>
    <w:p w:rsidR="001B47A3" w:rsidRDefault="001B47A3" w:rsidP="001B47A3">
      <w:pPr>
        <w:pStyle w:val="Heading1"/>
      </w:pPr>
    </w:p>
    <w:p w:rsidR="001B47A3" w:rsidRDefault="001B47A3" w:rsidP="001B47A3">
      <w:pPr>
        <w:rPr>
          <w:rFonts w:ascii="Calibri" w:eastAsiaTheme="majorEastAsia" w:hAnsi="Calibri" w:cstheme="majorBidi"/>
          <w:color w:val="365F91" w:themeColor="accent1" w:themeShade="BF"/>
          <w:sz w:val="40"/>
          <w:szCs w:val="28"/>
        </w:rPr>
      </w:pPr>
      <w:r>
        <w:br w:type="page"/>
      </w:r>
    </w:p>
    <w:p w:rsidR="001B47A3" w:rsidRDefault="001B47A3" w:rsidP="001B47A3">
      <w:pPr>
        <w:pStyle w:val="Heading1"/>
      </w:pPr>
      <w:r>
        <w:lastRenderedPageBreak/>
        <w:t>Short Term Goals and Activities</w:t>
      </w:r>
    </w:p>
    <w:p w:rsidR="001B47A3" w:rsidRDefault="001B47A3" w:rsidP="001B47A3">
      <w:r>
        <w:t>Once you have documented your long term goals and vision for your life, you need to articulate your action plan for the next 12 months that will set you on the path to achieving those visions.  For your short term planning you should use the standard SMART goal setting approach defined in the Appendix.</w:t>
      </w:r>
    </w:p>
    <w:p w:rsidR="001B47A3" w:rsidRDefault="001B47A3" w:rsidP="001B47A3">
      <w:r>
        <w:t>You should include in this section of your plan specific actions you need to take, goals or achievements you expect to complete in the next year, and specific tasks or actions that need to be taken over the next year to focus you on the things that are moving you forward toward your goals.</w:t>
      </w:r>
    </w:p>
    <w:p w:rsidR="001B47A3" w:rsidRDefault="001B47A3" w:rsidP="001B47A3">
      <w:r>
        <w:t>Consider including:</w:t>
      </w:r>
    </w:p>
    <w:p w:rsidR="001B47A3" w:rsidRDefault="001B47A3" w:rsidP="001B47A3">
      <w:pPr>
        <w:pStyle w:val="ListParagraph"/>
        <w:numPr>
          <w:ilvl w:val="0"/>
          <w:numId w:val="1"/>
        </w:numPr>
        <w:ind w:left="851" w:hanging="284"/>
      </w:pPr>
      <w:r>
        <w:t>Specific achievements</w:t>
      </w:r>
    </w:p>
    <w:p w:rsidR="001B47A3" w:rsidRDefault="001B47A3" w:rsidP="001B47A3">
      <w:pPr>
        <w:pStyle w:val="ListParagraph"/>
        <w:numPr>
          <w:ilvl w:val="0"/>
          <w:numId w:val="1"/>
        </w:numPr>
        <w:ind w:left="851" w:hanging="284"/>
      </w:pPr>
      <w:r>
        <w:t>People you would like to meet</w:t>
      </w:r>
    </w:p>
    <w:p w:rsidR="001B47A3" w:rsidRDefault="001B47A3" w:rsidP="001B47A3">
      <w:pPr>
        <w:pStyle w:val="ListParagraph"/>
        <w:numPr>
          <w:ilvl w:val="0"/>
          <w:numId w:val="1"/>
        </w:numPr>
        <w:ind w:left="851" w:hanging="284"/>
      </w:pPr>
      <w:r>
        <w:t>Projects you would like to start or finish</w:t>
      </w:r>
    </w:p>
    <w:p w:rsidR="001B47A3" w:rsidRDefault="001B47A3" w:rsidP="001B47A3">
      <w:pPr>
        <w:pStyle w:val="ListParagraph"/>
        <w:numPr>
          <w:ilvl w:val="0"/>
          <w:numId w:val="1"/>
        </w:numPr>
        <w:ind w:left="851" w:hanging="284"/>
      </w:pPr>
      <w:r>
        <w:t>Books you would like to read</w:t>
      </w:r>
    </w:p>
    <w:p w:rsidR="001B47A3" w:rsidRDefault="001B47A3" w:rsidP="001B47A3">
      <w:pPr>
        <w:pStyle w:val="ListParagraph"/>
        <w:numPr>
          <w:ilvl w:val="0"/>
          <w:numId w:val="1"/>
        </w:numPr>
        <w:ind w:left="851" w:hanging="284"/>
      </w:pPr>
      <w:r>
        <w:t>Things you would like to learn</w:t>
      </w:r>
    </w:p>
    <w:p w:rsidR="001B47A3" w:rsidRDefault="001B47A3" w:rsidP="001B47A3">
      <w:pPr>
        <w:pStyle w:val="ListParagraph"/>
        <w:numPr>
          <w:ilvl w:val="0"/>
          <w:numId w:val="1"/>
        </w:numPr>
        <w:ind w:left="851" w:hanging="284"/>
      </w:pPr>
      <w:r>
        <w:t>Steps you will take to improve or modify your natural behaviour</w:t>
      </w:r>
    </w:p>
    <w:tbl>
      <w:tblPr>
        <w:tblStyle w:val="TableGrid"/>
        <w:tblW w:w="0" w:type="auto"/>
        <w:tblLook w:val="04A0" w:firstRow="1" w:lastRow="0" w:firstColumn="1" w:lastColumn="0" w:noHBand="0" w:noVBand="1"/>
      </w:tblPr>
      <w:tblGrid>
        <w:gridCol w:w="4788"/>
        <w:gridCol w:w="4788"/>
      </w:tblGrid>
      <w:tr w:rsidR="001B47A3" w:rsidTr="00C80604">
        <w:tc>
          <w:tcPr>
            <w:tcW w:w="9576" w:type="dxa"/>
            <w:gridSpan w:val="2"/>
          </w:tcPr>
          <w:p w:rsidR="001B47A3" w:rsidRDefault="001B47A3" w:rsidP="00C80604">
            <w:pPr>
              <w:pStyle w:val="Heading2"/>
              <w:outlineLvl w:val="1"/>
            </w:pPr>
            <w:r>
              <w:t>12 Month Action Plan</w:t>
            </w:r>
          </w:p>
          <w:p w:rsidR="001B47A3" w:rsidRPr="001B47A3" w:rsidRDefault="001B47A3" w:rsidP="00C80604">
            <w:r>
              <w:t>List all of the actions and goals you intend to complete in the next 12 month period including a detailed description of the goal and desired outcomes and the deadline you are giving yourself for completion.</w:t>
            </w:r>
          </w:p>
        </w:tc>
      </w:tr>
      <w:tr w:rsidR="00476CB7" w:rsidTr="003C7FE9">
        <w:tc>
          <w:tcPr>
            <w:tcW w:w="4788" w:type="dxa"/>
          </w:tcPr>
          <w:p w:rsidR="00476CB7" w:rsidRPr="00476CB7" w:rsidRDefault="00476CB7" w:rsidP="00476CB7">
            <w:pPr>
              <w:rPr>
                <w:b/>
                <w:sz w:val="28"/>
              </w:rPr>
            </w:pPr>
            <w:r w:rsidRPr="00476CB7">
              <w:rPr>
                <w:b/>
                <w:sz w:val="28"/>
              </w:rPr>
              <w:t>Action</w:t>
            </w:r>
          </w:p>
        </w:tc>
        <w:tc>
          <w:tcPr>
            <w:tcW w:w="4788" w:type="dxa"/>
          </w:tcPr>
          <w:p w:rsidR="00476CB7" w:rsidRPr="00476CB7" w:rsidRDefault="00476CB7" w:rsidP="00476CB7">
            <w:pPr>
              <w:rPr>
                <w:b/>
                <w:sz w:val="28"/>
              </w:rPr>
            </w:pPr>
            <w:r w:rsidRPr="00476CB7">
              <w:rPr>
                <w:b/>
                <w:sz w:val="28"/>
              </w:rPr>
              <w:t>Deadline</w:t>
            </w:r>
          </w:p>
        </w:tc>
      </w:tr>
      <w:tr w:rsidR="00476CB7" w:rsidTr="003C7FE9">
        <w:tc>
          <w:tcPr>
            <w:tcW w:w="4788" w:type="dxa"/>
          </w:tcPr>
          <w:p w:rsidR="00476CB7" w:rsidRDefault="00476CB7" w:rsidP="00C80604">
            <w:pPr>
              <w:pStyle w:val="Heading2"/>
              <w:outlineLvl w:val="1"/>
            </w:pPr>
          </w:p>
        </w:tc>
        <w:tc>
          <w:tcPr>
            <w:tcW w:w="4788" w:type="dxa"/>
          </w:tcPr>
          <w:p w:rsidR="00476CB7" w:rsidRDefault="00476CB7" w:rsidP="00C80604">
            <w:pPr>
              <w:pStyle w:val="Heading2"/>
              <w:outlineLvl w:val="1"/>
            </w:pPr>
          </w:p>
        </w:tc>
      </w:tr>
    </w:tbl>
    <w:p w:rsidR="001B47A3" w:rsidRDefault="001B47A3" w:rsidP="001B47A3"/>
    <w:p w:rsidR="001B47A3" w:rsidRDefault="001B47A3">
      <w:pPr>
        <w:rPr>
          <w:rFonts w:ascii="Calibri" w:eastAsiaTheme="majorEastAsia" w:hAnsi="Calibri" w:cstheme="majorBidi"/>
          <w:b/>
          <w:bCs/>
          <w:i/>
          <w:color w:val="365F91" w:themeColor="accent1" w:themeShade="BF"/>
          <w:sz w:val="40"/>
          <w:szCs w:val="28"/>
        </w:rPr>
      </w:pPr>
      <w:r>
        <w:br w:type="page"/>
      </w:r>
    </w:p>
    <w:p w:rsidR="004509C6" w:rsidRDefault="004509C6" w:rsidP="004509C6">
      <w:pPr>
        <w:pStyle w:val="Heading1"/>
      </w:pPr>
      <w:r>
        <w:lastRenderedPageBreak/>
        <w:t>Appendix</w:t>
      </w:r>
    </w:p>
    <w:p w:rsidR="004509C6" w:rsidRDefault="001B47A3" w:rsidP="004509C6">
      <w:r>
        <w:t>For planning purposes the SMART acronym is often used to describe the recommended approach to setting goals.  While I agree with the SMART approach for short term activities and goals, I have modified the SMART acronym to better suit planning and goal setting with longer time horizons.  I call this the “radical” view of the SMART acronym.</w:t>
      </w:r>
    </w:p>
    <w:p w:rsidR="001B47A3" w:rsidRDefault="001B47A3" w:rsidP="004509C6">
      <w:r>
        <w:t>Both are included below for reference:</w:t>
      </w:r>
    </w:p>
    <w:tbl>
      <w:tblPr>
        <w:tblStyle w:val="TableGrid"/>
        <w:tblW w:w="0" w:type="auto"/>
        <w:jc w:val="center"/>
        <w:tblLook w:val="04A0" w:firstRow="1" w:lastRow="0" w:firstColumn="1" w:lastColumn="0" w:noHBand="0" w:noVBand="1"/>
      </w:tblPr>
      <w:tblGrid>
        <w:gridCol w:w="534"/>
        <w:gridCol w:w="1417"/>
        <w:gridCol w:w="1985"/>
      </w:tblGrid>
      <w:tr w:rsidR="001B47A3" w:rsidTr="001B47A3">
        <w:trPr>
          <w:jc w:val="center"/>
        </w:trPr>
        <w:tc>
          <w:tcPr>
            <w:tcW w:w="534" w:type="dxa"/>
          </w:tcPr>
          <w:p w:rsidR="001B47A3" w:rsidRDefault="001B47A3" w:rsidP="001B47A3">
            <w:pPr>
              <w:jc w:val="center"/>
            </w:pPr>
          </w:p>
        </w:tc>
        <w:tc>
          <w:tcPr>
            <w:tcW w:w="1417" w:type="dxa"/>
          </w:tcPr>
          <w:p w:rsidR="001B47A3" w:rsidRPr="001B47A3" w:rsidRDefault="001B47A3" w:rsidP="001B47A3">
            <w:pPr>
              <w:jc w:val="center"/>
              <w:rPr>
                <w:b/>
              </w:rPr>
            </w:pPr>
            <w:r w:rsidRPr="001B47A3">
              <w:rPr>
                <w:b/>
              </w:rPr>
              <w:t>Standard</w:t>
            </w:r>
          </w:p>
        </w:tc>
        <w:tc>
          <w:tcPr>
            <w:tcW w:w="1985" w:type="dxa"/>
          </w:tcPr>
          <w:p w:rsidR="001B47A3" w:rsidRPr="001B47A3" w:rsidRDefault="001B47A3" w:rsidP="001B47A3">
            <w:pPr>
              <w:jc w:val="center"/>
              <w:rPr>
                <w:b/>
              </w:rPr>
            </w:pPr>
            <w:r w:rsidRPr="001B47A3">
              <w:rPr>
                <w:b/>
              </w:rPr>
              <w:t>Radical</w:t>
            </w:r>
          </w:p>
        </w:tc>
      </w:tr>
      <w:tr w:rsidR="001B47A3" w:rsidTr="001B47A3">
        <w:trPr>
          <w:jc w:val="center"/>
        </w:trPr>
        <w:tc>
          <w:tcPr>
            <w:tcW w:w="534" w:type="dxa"/>
          </w:tcPr>
          <w:p w:rsidR="001B47A3" w:rsidRPr="001B47A3" w:rsidRDefault="001B47A3" w:rsidP="001B47A3">
            <w:pPr>
              <w:jc w:val="center"/>
              <w:rPr>
                <w:b/>
              </w:rPr>
            </w:pPr>
            <w:r w:rsidRPr="001B47A3">
              <w:rPr>
                <w:b/>
              </w:rPr>
              <w:t>S</w:t>
            </w:r>
          </w:p>
        </w:tc>
        <w:tc>
          <w:tcPr>
            <w:tcW w:w="1417" w:type="dxa"/>
          </w:tcPr>
          <w:p w:rsidR="001B47A3" w:rsidRDefault="001B47A3" w:rsidP="001B47A3">
            <w:pPr>
              <w:jc w:val="center"/>
            </w:pPr>
            <w:r>
              <w:t>Specific</w:t>
            </w:r>
          </w:p>
        </w:tc>
        <w:tc>
          <w:tcPr>
            <w:tcW w:w="1985" w:type="dxa"/>
          </w:tcPr>
          <w:p w:rsidR="001B47A3" w:rsidRDefault="001B47A3" w:rsidP="001B47A3">
            <w:pPr>
              <w:jc w:val="center"/>
            </w:pPr>
            <w:r>
              <w:t>Specific</w:t>
            </w:r>
          </w:p>
        </w:tc>
      </w:tr>
      <w:tr w:rsidR="001B47A3" w:rsidTr="001B47A3">
        <w:trPr>
          <w:jc w:val="center"/>
        </w:trPr>
        <w:tc>
          <w:tcPr>
            <w:tcW w:w="534" w:type="dxa"/>
          </w:tcPr>
          <w:p w:rsidR="001B47A3" w:rsidRPr="001B47A3" w:rsidRDefault="001B47A3" w:rsidP="001B47A3">
            <w:pPr>
              <w:jc w:val="center"/>
              <w:rPr>
                <w:b/>
              </w:rPr>
            </w:pPr>
            <w:r w:rsidRPr="001B47A3">
              <w:rPr>
                <w:b/>
              </w:rPr>
              <w:t>M</w:t>
            </w:r>
          </w:p>
        </w:tc>
        <w:tc>
          <w:tcPr>
            <w:tcW w:w="1417" w:type="dxa"/>
          </w:tcPr>
          <w:p w:rsidR="001B47A3" w:rsidRDefault="001B47A3" w:rsidP="001B47A3">
            <w:pPr>
              <w:jc w:val="center"/>
            </w:pPr>
            <w:r>
              <w:t>Measurable</w:t>
            </w:r>
          </w:p>
        </w:tc>
        <w:tc>
          <w:tcPr>
            <w:tcW w:w="1985" w:type="dxa"/>
          </w:tcPr>
          <w:p w:rsidR="001B47A3" w:rsidRDefault="001B47A3" w:rsidP="001B47A3">
            <w:pPr>
              <w:jc w:val="center"/>
            </w:pPr>
            <w:r>
              <w:t>Measurable</w:t>
            </w:r>
          </w:p>
        </w:tc>
      </w:tr>
      <w:tr w:rsidR="001B47A3" w:rsidTr="001B47A3">
        <w:trPr>
          <w:jc w:val="center"/>
        </w:trPr>
        <w:tc>
          <w:tcPr>
            <w:tcW w:w="534" w:type="dxa"/>
          </w:tcPr>
          <w:p w:rsidR="001B47A3" w:rsidRPr="001B47A3" w:rsidRDefault="001B47A3" w:rsidP="001B47A3">
            <w:pPr>
              <w:jc w:val="center"/>
              <w:rPr>
                <w:b/>
              </w:rPr>
            </w:pPr>
            <w:r w:rsidRPr="001B47A3">
              <w:rPr>
                <w:b/>
              </w:rPr>
              <w:t>A</w:t>
            </w:r>
          </w:p>
        </w:tc>
        <w:tc>
          <w:tcPr>
            <w:tcW w:w="1417" w:type="dxa"/>
          </w:tcPr>
          <w:p w:rsidR="001B47A3" w:rsidRDefault="001B47A3" w:rsidP="001B47A3">
            <w:pPr>
              <w:jc w:val="center"/>
            </w:pPr>
            <w:r>
              <w:t>Attainable</w:t>
            </w:r>
          </w:p>
        </w:tc>
        <w:tc>
          <w:tcPr>
            <w:tcW w:w="1985" w:type="dxa"/>
          </w:tcPr>
          <w:p w:rsidR="001B47A3" w:rsidRDefault="001B47A3" w:rsidP="001B47A3">
            <w:pPr>
              <w:jc w:val="center"/>
            </w:pPr>
            <w:r>
              <w:t>Audacious</w:t>
            </w:r>
          </w:p>
        </w:tc>
      </w:tr>
      <w:tr w:rsidR="001B47A3" w:rsidTr="001B47A3">
        <w:trPr>
          <w:jc w:val="center"/>
        </w:trPr>
        <w:tc>
          <w:tcPr>
            <w:tcW w:w="534" w:type="dxa"/>
          </w:tcPr>
          <w:p w:rsidR="001B47A3" w:rsidRPr="001B47A3" w:rsidRDefault="001B47A3" w:rsidP="001B47A3">
            <w:pPr>
              <w:jc w:val="center"/>
              <w:rPr>
                <w:b/>
              </w:rPr>
            </w:pPr>
            <w:r w:rsidRPr="001B47A3">
              <w:rPr>
                <w:b/>
              </w:rPr>
              <w:t>R</w:t>
            </w:r>
          </w:p>
        </w:tc>
        <w:tc>
          <w:tcPr>
            <w:tcW w:w="1417" w:type="dxa"/>
          </w:tcPr>
          <w:p w:rsidR="001B47A3" w:rsidRDefault="001B47A3" w:rsidP="001B47A3">
            <w:pPr>
              <w:jc w:val="center"/>
            </w:pPr>
            <w:r>
              <w:t>Relevant</w:t>
            </w:r>
          </w:p>
        </w:tc>
        <w:tc>
          <w:tcPr>
            <w:tcW w:w="1985" w:type="dxa"/>
          </w:tcPr>
          <w:p w:rsidR="001B47A3" w:rsidRDefault="001B47A3" w:rsidP="001B47A3">
            <w:pPr>
              <w:jc w:val="center"/>
            </w:pPr>
            <w:r>
              <w:t>Radical</w:t>
            </w:r>
          </w:p>
        </w:tc>
      </w:tr>
      <w:tr w:rsidR="001B47A3" w:rsidTr="001B47A3">
        <w:trPr>
          <w:jc w:val="center"/>
        </w:trPr>
        <w:tc>
          <w:tcPr>
            <w:tcW w:w="534" w:type="dxa"/>
          </w:tcPr>
          <w:p w:rsidR="001B47A3" w:rsidRPr="001B47A3" w:rsidRDefault="001B47A3" w:rsidP="001B47A3">
            <w:pPr>
              <w:jc w:val="center"/>
              <w:rPr>
                <w:b/>
              </w:rPr>
            </w:pPr>
            <w:r w:rsidRPr="001B47A3">
              <w:rPr>
                <w:b/>
              </w:rPr>
              <w:t>T</w:t>
            </w:r>
          </w:p>
        </w:tc>
        <w:tc>
          <w:tcPr>
            <w:tcW w:w="1417" w:type="dxa"/>
          </w:tcPr>
          <w:p w:rsidR="001B47A3" w:rsidRDefault="001B47A3" w:rsidP="001B47A3">
            <w:pPr>
              <w:jc w:val="center"/>
            </w:pPr>
            <w:r>
              <w:t>Time-Based</w:t>
            </w:r>
          </w:p>
        </w:tc>
        <w:tc>
          <w:tcPr>
            <w:tcW w:w="1985" w:type="dxa"/>
          </w:tcPr>
          <w:p w:rsidR="001B47A3" w:rsidRDefault="001B47A3" w:rsidP="001B47A3">
            <w:pPr>
              <w:jc w:val="center"/>
            </w:pPr>
            <w:r>
              <w:t>Thought-Provoking</w:t>
            </w:r>
          </w:p>
        </w:tc>
      </w:tr>
    </w:tbl>
    <w:p w:rsidR="001B47A3" w:rsidRPr="004509C6" w:rsidRDefault="001B47A3" w:rsidP="004509C6"/>
    <w:p w:rsidR="001B47A3" w:rsidRDefault="001B47A3" w:rsidP="004509C6">
      <w:r>
        <w:t>For more information on the Power of Radical Goals view my blog post at</w:t>
      </w:r>
      <w:proofErr w:type="gramStart"/>
      <w:r>
        <w:t>:</w:t>
      </w:r>
      <w:proofErr w:type="gramEnd"/>
      <w:r>
        <w:br/>
      </w:r>
      <w:hyperlink r:id="rId9" w:history="1">
        <w:r w:rsidRPr="00592013">
          <w:rPr>
            <w:rStyle w:val="Hyperlink"/>
          </w:rPr>
          <w:t>http://www.keyconsulting.ca/2012/03/08/the-power-of-radical-goals/</w:t>
        </w:r>
      </w:hyperlink>
      <w:r>
        <w:t xml:space="preserve"> </w:t>
      </w:r>
    </w:p>
    <w:sectPr w:rsidR="001B47A3" w:rsidSect="004509C6">
      <w:headerReference w:type="even" r:id="rId10"/>
      <w:headerReference w:type="default" r:id="rId11"/>
      <w:footerReference w:type="even" r:id="rId12"/>
      <w:footerReference w:type="default" r:id="rId13"/>
      <w:headerReference w:type="first" r:id="rId14"/>
      <w:footerReference w:type="first" r:id="rId15"/>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42" w:rsidRDefault="00803E42" w:rsidP="004509C6">
      <w:pPr>
        <w:spacing w:after="0" w:line="240" w:lineRule="auto"/>
      </w:pPr>
      <w:r>
        <w:separator/>
      </w:r>
    </w:p>
  </w:endnote>
  <w:endnote w:type="continuationSeparator" w:id="0">
    <w:p w:rsidR="00803E42" w:rsidRDefault="00803E42" w:rsidP="0045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x-Black">
    <w:panose1 w:val="00000000000000000000"/>
    <w:charset w:val="00"/>
    <w:family w:val="roman"/>
    <w:notTrueType/>
    <w:pitch w:val="variable"/>
    <w:sig w:usb0="00000003" w:usb1="00000000" w:usb2="00000000" w:usb3="00000000" w:csb0="00000001" w:csb1="00000000"/>
  </w:font>
  <w:font w:name="Dax-Medium">
    <w:panose1 w:val="00000000000000000000"/>
    <w:charset w:val="00"/>
    <w:family w:val="roman"/>
    <w:notTrueType/>
    <w:pitch w:val="variable"/>
    <w:sig w:usb0="00000003" w:usb1="00000000" w:usb2="00000000" w:usb3="00000000" w:csb0="00000001" w:csb1="00000000"/>
  </w:font>
  <w:font w:name="Dax-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8" w:rsidRDefault="003F6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C6" w:rsidRDefault="004509C6">
    <w:pPr>
      <w:pStyle w:val="Footer"/>
    </w:pPr>
    <w:bookmarkStart w:id="0" w:name="_GoBack"/>
    <w:r w:rsidRPr="004509C6">
      <w:t>Th</w:t>
    </w:r>
    <w:r>
      <w:t>e Personal Planning Worksheet</w:t>
    </w:r>
    <w:r w:rsidRPr="004509C6">
      <w:t xml:space="preserve"> is licensed under the Creative Commons Attribution-</w:t>
    </w:r>
    <w:proofErr w:type="spellStart"/>
    <w:r w:rsidRPr="004509C6">
      <w:t>ShareAlike</w:t>
    </w:r>
    <w:proofErr w:type="spellEnd"/>
    <w:r w:rsidRPr="004509C6">
      <w:t xml:space="preserve"> 3.0 </w:t>
    </w:r>
    <w:proofErr w:type="spellStart"/>
    <w:r w:rsidRPr="004509C6">
      <w:t>Unported</w:t>
    </w:r>
    <w:proofErr w:type="spellEnd"/>
    <w:r w:rsidRPr="004509C6">
      <w:t xml:space="preserve"> License. To view a copy of this license, visit </w:t>
    </w:r>
    <w:hyperlink r:id="rId1" w:history="1">
      <w:r w:rsidRPr="00592013">
        <w:rPr>
          <w:rStyle w:val="Hyperlink"/>
        </w:rPr>
        <w:t>http://creativecommons.org/licenses/by-sa/3.0/</w:t>
      </w:r>
    </w:hyperlink>
    <w:r w:rsidRPr="004509C6">
      <w:t>.</w:t>
    </w:r>
  </w:p>
  <w:bookmarkEnd w:id="0"/>
  <w:p w:rsidR="004509C6" w:rsidRDefault="004509C6">
    <w:pPr>
      <w:pStyle w:val="Footer"/>
    </w:pPr>
    <w:r>
      <w:rPr>
        <w:noProof/>
        <w:lang w:eastAsia="en-CA"/>
      </w:rPr>
      <w:drawing>
        <wp:inline distT="0" distB="0" distL="0" distR="0" wp14:anchorId="161FFA07" wp14:editId="63C7A98B">
          <wp:extent cx="180000" cy="1800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noProof/>
        <w:lang w:eastAsia="en-CA"/>
      </w:rPr>
      <w:drawing>
        <wp:inline distT="0" distB="0" distL="0" distR="0" wp14:anchorId="7DC032E0" wp14:editId="516CC578">
          <wp:extent cx="180000" cy="1800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noProof/>
        <w:lang w:eastAsia="en-CA"/>
      </w:rPr>
      <w:drawing>
        <wp:inline distT="0" distB="0" distL="0" distR="0" wp14:anchorId="54E05D71" wp14:editId="3E6D9184">
          <wp:extent cx="180000" cy="180000"/>
          <wp:effectExtent l="0" t="0" r="0" b="0"/>
          <wp:docPr id="3" name="Picture 3"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t xml:space="preserve"> </w:t>
    </w:r>
    <w:r>
      <w:tab/>
    </w:r>
    <w:r>
      <w:tab/>
    </w:r>
    <w:proofErr w:type="gramStart"/>
    <w:r w:rsidRPr="004509C6">
      <w:rPr>
        <w:sz w:val="16"/>
      </w:rPr>
      <w:t>v1.0</w:t>
    </w:r>
    <w:proofErr w:type="gramEnd"/>
    <w:r w:rsidRPr="004509C6">
      <w:rPr>
        <w:sz w:val="16"/>
      </w:rPr>
      <w:t xml:space="preserve"> January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8" w:rsidRDefault="003F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42" w:rsidRDefault="00803E42" w:rsidP="004509C6">
      <w:pPr>
        <w:spacing w:after="0" w:line="240" w:lineRule="auto"/>
      </w:pPr>
      <w:r>
        <w:separator/>
      </w:r>
    </w:p>
  </w:footnote>
  <w:footnote w:type="continuationSeparator" w:id="0">
    <w:p w:rsidR="00803E42" w:rsidRDefault="00803E42" w:rsidP="00450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8" w:rsidRDefault="003F6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C6" w:rsidRPr="004509C6" w:rsidRDefault="004509C6">
    <w:pPr>
      <w:pStyle w:val="Header"/>
      <w:rPr>
        <w:b/>
        <w:sz w:val="52"/>
        <w:szCs w:val="52"/>
      </w:rPr>
    </w:pPr>
    <w:r w:rsidRPr="004509C6">
      <w:rPr>
        <w:b/>
        <w:sz w:val="52"/>
        <w:szCs w:val="52"/>
      </w:rPr>
      <w:t>Personal Planning Worksheet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8" w:rsidRDefault="003F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305"/>
    <w:multiLevelType w:val="hybridMultilevel"/>
    <w:tmpl w:val="2676CD3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C6"/>
    <w:rsid w:val="001B47A3"/>
    <w:rsid w:val="001F4F78"/>
    <w:rsid w:val="002320D1"/>
    <w:rsid w:val="003F6298"/>
    <w:rsid w:val="004509C6"/>
    <w:rsid w:val="00476CB7"/>
    <w:rsid w:val="00512852"/>
    <w:rsid w:val="005816C2"/>
    <w:rsid w:val="00803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A3"/>
  </w:style>
  <w:style w:type="paragraph" w:styleId="Heading1">
    <w:name w:val="heading 1"/>
    <w:basedOn w:val="Normal"/>
    <w:next w:val="Normal"/>
    <w:link w:val="Heading1Char"/>
    <w:uiPriority w:val="9"/>
    <w:qFormat/>
    <w:rsid w:val="004509C6"/>
    <w:pPr>
      <w:keepNext/>
      <w:keepLines/>
      <w:spacing w:before="480" w:after="0"/>
      <w:outlineLvl w:val="0"/>
    </w:pPr>
    <w:rPr>
      <w:rFonts w:ascii="Calibri" w:eastAsiaTheme="majorEastAsia" w:hAnsi="Calibri" w:cstheme="majorBidi"/>
      <w:b/>
      <w:bCs/>
      <w:i/>
      <w:color w:val="365F91" w:themeColor="accent1" w:themeShade="BF"/>
      <w:sz w:val="40"/>
      <w:szCs w:val="28"/>
    </w:rPr>
  </w:style>
  <w:style w:type="paragraph" w:styleId="Heading2">
    <w:name w:val="heading 2"/>
    <w:basedOn w:val="Normal"/>
    <w:next w:val="Normal"/>
    <w:link w:val="Heading2Char"/>
    <w:uiPriority w:val="9"/>
    <w:unhideWhenUsed/>
    <w:qFormat/>
    <w:rsid w:val="001B47A3"/>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9C6"/>
    <w:rPr>
      <w:rFonts w:ascii="Calibri" w:eastAsiaTheme="majorEastAsia" w:hAnsi="Calibri" w:cstheme="majorBidi"/>
      <w:b/>
      <w:bCs/>
      <w:i/>
      <w:color w:val="365F91" w:themeColor="accent1" w:themeShade="BF"/>
      <w:sz w:val="40"/>
      <w:szCs w:val="28"/>
    </w:rPr>
  </w:style>
  <w:style w:type="character" w:customStyle="1" w:styleId="Heading2Char">
    <w:name w:val="Heading 2 Char"/>
    <w:basedOn w:val="DefaultParagraphFont"/>
    <w:link w:val="Heading2"/>
    <w:uiPriority w:val="9"/>
    <w:rsid w:val="001B47A3"/>
    <w:rPr>
      <w:rFonts w:eastAsiaTheme="majorEastAsia" w:cstheme="majorBidi"/>
      <w:b/>
      <w:bCs/>
      <w:color w:val="4F81BD" w:themeColor="accent1"/>
      <w:sz w:val="28"/>
      <w:szCs w:val="26"/>
    </w:rPr>
  </w:style>
  <w:style w:type="paragraph" w:styleId="Title">
    <w:name w:val="Title"/>
    <w:basedOn w:val="Normal"/>
    <w:next w:val="Normal"/>
    <w:link w:val="TitleChar"/>
    <w:uiPriority w:val="10"/>
    <w:qFormat/>
    <w:rsid w:val="001F4F78"/>
    <w:pPr>
      <w:pBdr>
        <w:bottom w:val="single" w:sz="8" w:space="4" w:color="4F81BD" w:themeColor="accent1"/>
      </w:pBdr>
      <w:spacing w:after="300" w:line="240" w:lineRule="auto"/>
      <w:contextualSpacing/>
    </w:pPr>
    <w:rPr>
      <w:rFonts w:ascii="Dax-Black" w:eastAsiaTheme="majorEastAsia" w:hAnsi="Dax-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F78"/>
    <w:rPr>
      <w:rFonts w:ascii="Dax-Black" w:eastAsiaTheme="majorEastAsia" w:hAnsi="Dax-Black"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4F78"/>
    <w:pPr>
      <w:numPr>
        <w:ilvl w:val="1"/>
      </w:numPr>
    </w:pPr>
    <w:rPr>
      <w:rFonts w:ascii="Dax-Medium" w:eastAsiaTheme="majorEastAsia" w:hAnsi="Dax-Medium"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4F78"/>
    <w:rPr>
      <w:rFonts w:ascii="Dax-Medium" w:eastAsiaTheme="majorEastAsia" w:hAnsi="Dax-Medium" w:cstheme="majorBidi"/>
      <w:i/>
      <w:iCs/>
      <w:color w:val="4F81BD" w:themeColor="accent1"/>
      <w:spacing w:val="15"/>
      <w:sz w:val="24"/>
      <w:szCs w:val="24"/>
    </w:rPr>
  </w:style>
  <w:style w:type="paragraph" w:styleId="Quote">
    <w:name w:val="Quote"/>
    <w:basedOn w:val="Normal"/>
    <w:next w:val="Normal"/>
    <w:link w:val="QuoteChar"/>
    <w:uiPriority w:val="29"/>
    <w:qFormat/>
    <w:rsid w:val="001F4F78"/>
    <w:rPr>
      <w:rFonts w:ascii="Dax-Regular" w:hAnsi="Dax-Regular"/>
      <w:i/>
      <w:iCs/>
      <w:color w:val="000000" w:themeColor="text1"/>
    </w:rPr>
  </w:style>
  <w:style w:type="character" w:customStyle="1" w:styleId="QuoteChar">
    <w:name w:val="Quote Char"/>
    <w:basedOn w:val="DefaultParagraphFont"/>
    <w:link w:val="Quote"/>
    <w:uiPriority w:val="29"/>
    <w:rsid w:val="001F4F78"/>
    <w:rPr>
      <w:rFonts w:ascii="Dax-Regular" w:hAnsi="Dax-Regular"/>
      <w:i/>
      <w:iCs/>
      <w:color w:val="000000" w:themeColor="text1"/>
    </w:rPr>
  </w:style>
  <w:style w:type="paragraph" w:styleId="Header">
    <w:name w:val="header"/>
    <w:basedOn w:val="Normal"/>
    <w:link w:val="HeaderChar"/>
    <w:uiPriority w:val="99"/>
    <w:unhideWhenUsed/>
    <w:rsid w:val="0045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C6"/>
  </w:style>
  <w:style w:type="paragraph" w:styleId="Footer">
    <w:name w:val="footer"/>
    <w:basedOn w:val="Normal"/>
    <w:link w:val="FooterChar"/>
    <w:uiPriority w:val="99"/>
    <w:unhideWhenUsed/>
    <w:rsid w:val="0045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C6"/>
  </w:style>
  <w:style w:type="character" w:styleId="Hyperlink">
    <w:name w:val="Hyperlink"/>
    <w:basedOn w:val="DefaultParagraphFont"/>
    <w:uiPriority w:val="99"/>
    <w:unhideWhenUsed/>
    <w:rsid w:val="004509C6"/>
    <w:rPr>
      <w:color w:val="0000FF" w:themeColor="hyperlink"/>
      <w:u w:val="single"/>
    </w:rPr>
  </w:style>
  <w:style w:type="paragraph" w:styleId="BalloonText">
    <w:name w:val="Balloon Text"/>
    <w:basedOn w:val="Normal"/>
    <w:link w:val="BalloonTextChar"/>
    <w:uiPriority w:val="99"/>
    <w:semiHidden/>
    <w:unhideWhenUsed/>
    <w:rsid w:val="0045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C6"/>
    <w:rPr>
      <w:rFonts w:ascii="Tahoma" w:hAnsi="Tahoma" w:cs="Tahoma"/>
      <w:sz w:val="16"/>
      <w:szCs w:val="16"/>
    </w:rPr>
  </w:style>
  <w:style w:type="table" w:styleId="TableGrid">
    <w:name w:val="Table Grid"/>
    <w:basedOn w:val="TableNormal"/>
    <w:uiPriority w:val="59"/>
    <w:rsid w:val="001B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A3"/>
  </w:style>
  <w:style w:type="paragraph" w:styleId="Heading1">
    <w:name w:val="heading 1"/>
    <w:basedOn w:val="Normal"/>
    <w:next w:val="Normal"/>
    <w:link w:val="Heading1Char"/>
    <w:uiPriority w:val="9"/>
    <w:qFormat/>
    <w:rsid w:val="004509C6"/>
    <w:pPr>
      <w:keepNext/>
      <w:keepLines/>
      <w:spacing w:before="480" w:after="0"/>
      <w:outlineLvl w:val="0"/>
    </w:pPr>
    <w:rPr>
      <w:rFonts w:ascii="Calibri" w:eastAsiaTheme="majorEastAsia" w:hAnsi="Calibri" w:cstheme="majorBidi"/>
      <w:b/>
      <w:bCs/>
      <w:i/>
      <w:color w:val="365F91" w:themeColor="accent1" w:themeShade="BF"/>
      <w:sz w:val="40"/>
      <w:szCs w:val="28"/>
    </w:rPr>
  </w:style>
  <w:style w:type="paragraph" w:styleId="Heading2">
    <w:name w:val="heading 2"/>
    <w:basedOn w:val="Normal"/>
    <w:next w:val="Normal"/>
    <w:link w:val="Heading2Char"/>
    <w:uiPriority w:val="9"/>
    <w:unhideWhenUsed/>
    <w:qFormat/>
    <w:rsid w:val="001B47A3"/>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9C6"/>
    <w:rPr>
      <w:rFonts w:ascii="Calibri" w:eastAsiaTheme="majorEastAsia" w:hAnsi="Calibri" w:cstheme="majorBidi"/>
      <w:b/>
      <w:bCs/>
      <w:i/>
      <w:color w:val="365F91" w:themeColor="accent1" w:themeShade="BF"/>
      <w:sz w:val="40"/>
      <w:szCs w:val="28"/>
    </w:rPr>
  </w:style>
  <w:style w:type="character" w:customStyle="1" w:styleId="Heading2Char">
    <w:name w:val="Heading 2 Char"/>
    <w:basedOn w:val="DefaultParagraphFont"/>
    <w:link w:val="Heading2"/>
    <w:uiPriority w:val="9"/>
    <w:rsid w:val="001B47A3"/>
    <w:rPr>
      <w:rFonts w:eastAsiaTheme="majorEastAsia" w:cstheme="majorBidi"/>
      <w:b/>
      <w:bCs/>
      <w:color w:val="4F81BD" w:themeColor="accent1"/>
      <w:sz w:val="28"/>
      <w:szCs w:val="26"/>
    </w:rPr>
  </w:style>
  <w:style w:type="paragraph" w:styleId="Title">
    <w:name w:val="Title"/>
    <w:basedOn w:val="Normal"/>
    <w:next w:val="Normal"/>
    <w:link w:val="TitleChar"/>
    <w:uiPriority w:val="10"/>
    <w:qFormat/>
    <w:rsid w:val="001F4F78"/>
    <w:pPr>
      <w:pBdr>
        <w:bottom w:val="single" w:sz="8" w:space="4" w:color="4F81BD" w:themeColor="accent1"/>
      </w:pBdr>
      <w:spacing w:after="300" w:line="240" w:lineRule="auto"/>
      <w:contextualSpacing/>
    </w:pPr>
    <w:rPr>
      <w:rFonts w:ascii="Dax-Black" w:eastAsiaTheme="majorEastAsia" w:hAnsi="Dax-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F78"/>
    <w:rPr>
      <w:rFonts w:ascii="Dax-Black" w:eastAsiaTheme="majorEastAsia" w:hAnsi="Dax-Black"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4F78"/>
    <w:pPr>
      <w:numPr>
        <w:ilvl w:val="1"/>
      </w:numPr>
    </w:pPr>
    <w:rPr>
      <w:rFonts w:ascii="Dax-Medium" w:eastAsiaTheme="majorEastAsia" w:hAnsi="Dax-Medium"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4F78"/>
    <w:rPr>
      <w:rFonts w:ascii="Dax-Medium" w:eastAsiaTheme="majorEastAsia" w:hAnsi="Dax-Medium" w:cstheme="majorBidi"/>
      <w:i/>
      <w:iCs/>
      <w:color w:val="4F81BD" w:themeColor="accent1"/>
      <w:spacing w:val="15"/>
      <w:sz w:val="24"/>
      <w:szCs w:val="24"/>
    </w:rPr>
  </w:style>
  <w:style w:type="paragraph" w:styleId="Quote">
    <w:name w:val="Quote"/>
    <w:basedOn w:val="Normal"/>
    <w:next w:val="Normal"/>
    <w:link w:val="QuoteChar"/>
    <w:uiPriority w:val="29"/>
    <w:qFormat/>
    <w:rsid w:val="001F4F78"/>
    <w:rPr>
      <w:rFonts w:ascii="Dax-Regular" w:hAnsi="Dax-Regular"/>
      <w:i/>
      <w:iCs/>
      <w:color w:val="000000" w:themeColor="text1"/>
    </w:rPr>
  </w:style>
  <w:style w:type="character" w:customStyle="1" w:styleId="QuoteChar">
    <w:name w:val="Quote Char"/>
    <w:basedOn w:val="DefaultParagraphFont"/>
    <w:link w:val="Quote"/>
    <w:uiPriority w:val="29"/>
    <w:rsid w:val="001F4F78"/>
    <w:rPr>
      <w:rFonts w:ascii="Dax-Regular" w:hAnsi="Dax-Regular"/>
      <w:i/>
      <w:iCs/>
      <w:color w:val="000000" w:themeColor="text1"/>
    </w:rPr>
  </w:style>
  <w:style w:type="paragraph" w:styleId="Header">
    <w:name w:val="header"/>
    <w:basedOn w:val="Normal"/>
    <w:link w:val="HeaderChar"/>
    <w:uiPriority w:val="99"/>
    <w:unhideWhenUsed/>
    <w:rsid w:val="0045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C6"/>
  </w:style>
  <w:style w:type="paragraph" w:styleId="Footer">
    <w:name w:val="footer"/>
    <w:basedOn w:val="Normal"/>
    <w:link w:val="FooterChar"/>
    <w:uiPriority w:val="99"/>
    <w:unhideWhenUsed/>
    <w:rsid w:val="0045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C6"/>
  </w:style>
  <w:style w:type="character" w:styleId="Hyperlink">
    <w:name w:val="Hyperlink"/>
    <w:basedOn w:val="DefaultParagraphFont"/>
    <w:uiPriority w:val="99"/>
    <w:unhideWhenUsed/>
    <w:rsid w:val="004509C6"/>
    <w:rPr>
      <w:color w:val="0000FF" w:themeColor="hyperlink"/>
      <w:u w:val="single"/>
    </w:rPr>
  </w:style>
  <w:style w:type="paragraph" w:styleId="BalloonText">
    <w:name w:val="Balloon Text"/>
    <w:basedOn w:val="Normal"/>
    <w:link w:val="BalloonTextChar"/>
    <w:uiPriority w:val="99"/>
    <w:semiHidden/>
    <w:unhideWhenUsed/>
    <w:rsid w:val="0045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C6"/>
    <w:rPr>
      <w:rFonts w:ascii="Tahoma" w:hAnsi="Tahoma" w:cs="Tahoma"/>
      <w:sz w:val="16"/>
      <w:szCs w:val="16"/>
    </w:rPr>
  </w:style>
  <w:style w:type="table" w:styleId="TableGrid">
    <w:name w:val="Table Grid"/>
    <w:basedOn w:val="TableNormal"/>
    <w:uiPriority w:val="59"/>
    <w:rsid w:val="001B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yconsulting.ca/2012/03/08/the-power-of-radical-goal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sa/3.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97D9-CCDD-4794-AD7C-80E16E04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Key Consulting</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Planning Worksheet</dc:title>
  <dc:subject/>
  <dc:creator>Empringham, Tim</dc:creator>
  <cp:keywords/>
  <dc:description>The Personal Planning Worksheet is licensed under the Creative Commons Attribution-ShareAlike 3.0 Unported License. To view a copy of this license, visit http://creativecommons.org/licenses/by-sa/3.0/.</dc:description>
  <cp:lastModifiedBy>Empringham, Tim</cp:lastModifiedBy>
  <cp:revision>2</cp:revision>
  <dcterms:created xsi:type="dcterms:W3CDTF">2013-01-14T17:50:00Z</dcterms:created>
  <dcterms:modified xsi:type="dcterms:W3CDTF">2013-01-14T18:17:00Z</dcterms:modified>
</cp:coreProperties>
</file>